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B21" w:rsidRPr="00685B21" w:rsidRDefault="00685B21" w:rsidP="00685B21">
      <w:pPr>
        <w:rPr>
          <w:rFonts w:cs="Arial"/>
          <w:b/>
          <w:sz w:val="36"/>
          <w:szCs w:val="36"/>
        </w:rPr>
      </w:pPr>
      <w:r w:rsidRPr="00685B21">
        <w:rPr>
          <w:rFonts w:cs="Arial"/>
          <w:b/>
          <w:sz w:val="36"/>
          <w:szCs w:val="36"/>
        </w:rPr>
        <w:t>SLIDE 1:</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2024 Annual Conference on Independent Living</w:t>
      </w:r>
    </w:p>
    <w:p w:rsidR="00685B21" w:rsidRPr="00685B21" w:rsidRDefault="00685B21" w:rsidP="00685B21">
      <w:pPr>
        <w:rPr>
          <w:rFonts w:cs="Arial"/>
          <w:b/>
          <w:sz w:val="36"/>
          <w:szCs w:val="36"/>
        </w:rPr>
      </w:pPr>
      <w:r w:rsidRPr="00685B21">
        <w:rPr>
          <w:rFonts w:cs="Arial"/>
          <w:b/>
          <w:sz w:val="36"/>
          <w:szCs w:val="36"/>
        </w:rPr>
        <w:t>BACK TO THE FUTURE</w:t>
      </w:r>
    </w:p>
    <w:p w:rsidR="00685B21" w:rsidRPr="00685B21" w:rsidRDefault="00685B21" w:rsidP="00685B21">
      <w:pPr>
        <w:rPr>
          <w:rFonts w:cs="Arial"/>
          <w:b/>
          <w:sz w:val="36"/>
          <w:szCs w:val="36"/>
        </w:rPr>
      </w:pPr>
      <w:r w:rsidRPr="00685B21">
        <w:rPr>
          <w:rFonts w:cs="Arial"/>
          <w:b/>
          <w:sz w:val="36"/>
          <w:szCs w:val="36"/>
        </w:rPr>
        <w:t>Presented by the National Council on Independent Living</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Alt text: Conference Logo: Black sans serif text says, “BACK TO THE FUTURE”. To the right, digital font in bright, bold orange says, “2024”. Underneath, [NCIL Logo: National Council on Independent Living] Annual Conference on Independent Living.</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SLIDE 2:</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DME, LTCFs and Healthcare:</w:t>
      </w:r>
    </w:p>
    <w:p w:rsidR="00685B21" w:rsidRPr="00685B21" w:rsidRDefault="00685B21" w:rsidP="00685B21">
      <w:pPr>
        <w:rPr>
          <w:rFonts w:cs="Arial"/>
          <w:b/>
          <w:sz w:val="36"/>
          <w:szCs w:val="36"/>
        </w:rPr>
      </w:pPr>
      <w:r w:rsidRPr="00685B21">
        <w:rPr>
          <w:rFonts w:cs="Arial"/>
          <w:b/>
          <w:sz w:val="36"/>
          <w:szCs w:val="36"/>
        </w:rPr>
        <w:t>What Private Equity Has Do with It, What It Means, and How to Combat It</w:t>
      </w:r>
    </w:p>
    <w:p w:rsidR="00685B21" w:rsidRPr="00685B21" w:rsidRDefault="00685B21" w:rsidP="00685B21">
      <w:pPr>
        <w:rPr>
          <w:rFonts w:cs="Arial"/>
          <w:b/>
          <w:sz w:val="36"/>
          <w:szCs w:val="36"/>
        </w:rPr>
      </w:pPr>
      <w:r w:rsidRPr="00685B21">
        <w:rPr>
          <w:rFonts w:cs="Arial"/>
          <w:b/>
          <w:sz w:val="36"/>
          <w:szCs w:val="36"/>
        </w:rPr>
        <w:t>“The greatest threat to disability services is private equity.”</w:t>
      </w:r>
    </w:p>
    <w:p w:rsidR="00685B21" w:rsidRPr="00685B21" w:rsidRDefault="00685B21" w:rsidP="00685B21">
      <w:pPr>
        <w:rPr>
          <w:rFonts w:cs="Arial"/>
          <w:b/>
          <w:sz w:val="36"/>
          <w:szCs w:val="36"/>
        </w:rPr>
      </w:pPr>
      <w:r w:rsidRPr="00685B21">
        <w:rPr>
          <w:rFonts w:cs="Arial"/>
          <w:b/>
          <w:sz w:val="36"/>
          <w:szCs w:val="36"/>
        </w:rPr>
        <w:t>July 22, 2024</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Farrah Garland, Carol Tyson, Colin </w:t>
      </w:r>
      <w:proofErr w:type="spellStart"/>
      <w:r w:rsidRPr="00685B21">
        <w:rPr>
          <w:rFonts w:cs="Arial"/>
          <w:b/>
          <w:sz w:val="36"/>
          <w:szCs w:val="36"/>
        </w:rPr>
        <w:t>Killick</w:t>
      </w:r>
      <w:proofErr w:type="spellEnd"/>
      <w:r w:rsidRPr="00685B21">
        <w:rPr>
          <w:rFonts w:cs="Arial"/>
          <w:b/>
          <w:sz w:val="36"/>
          <w:szCs w:val="36"/>
        </w:rPr>
        <w:t>, Tom Olin</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3: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What Is Private Equity?</w:t>
      </w:r>
    </w:p>
    <w:p w:rsidR="00685B21" w:rsidRPr="00685B21" w:rsidRDefault="00685B21" w:rsidP="00685B21">
      <w:pPr>
        <w:rPr>
          <w:rFonts w:cs="Arial"/>
          <w:b/>
          <w:sz w:val="36"/>
          <w:szCs w:val="36"/>
        </w:rPr>
      </w:pPr>
      <w:r w:rsidRPr="00685B21">
        <w:rPr>
          <w:rFonts w:cs="Arial"/>
          <w:b/>
          <w:sz w:val="36"/>
          <w:szCs w:val="36"/>
        </w:rPr>
        <w:t xml:space="preserve">Private equity firms invest the money they collect on behalf of the fund’s investors (pension funds, sovereign wealth funds, endowments and very wealthy individuals) then aim to take control of a business for a relatively short time, restructure it, and resell the company at a profit. </w:t>
      </w:r>
    </w:p>
    <w:p w:rsidR="00685B21" w:rsidRPr="00685B21" w:rsidRDefault="00685B21" w:rsidP="00685B21">
      <w:pPr>
        <w:rPr>
          <w:rFonts w:cs="Arial"/>
          <w:b/>
          <w:sz w:val="36"/>
          <w:szCs w:val="36"/>
        </w:rPr>
      </w:pPr>
      <w:r w:rsidRPr="00685B21">
        <w:rPr>
          <w:rFonts w:cs="Arial"/>
          <w:b/>
          <w:sz w:val="36"/>
          <w:szCs w:val="36"/>
        </w:rPr>
        <w:t>The number one factor private equity firms focus on is the ability to grow revenue.</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4: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What PE Does</w:t>
      </w:r>
    </w:p>
    <w:p w:rsidR="00685B21" w:rsidRPr="00685B21" w:rsidRDefault="00685B21" w:rsidP="00685B21">
      <w:pPr>
        <w:rPr>
          <w:rFonts w:cs="Arial"/>
          <w:b/>
          <w:sz w:val="36"/>
          <w:szCs w:val="36"/>
        </w:rPr>
      </w:pPr>
      <w:r w:rsidRPr="00685B21">
        <w:rPr>
          <w:rFonts w:cs="Arial"/>
          <w:b/>
          <w:sz w:val="36"/>
          <w:szCs w:val="36"/>
        </w:rPr>
        <w:t>Private equity fundamentally takes away consumer autonomy and dismantles access to vital healthcare and community-based services essential to our well-being and independence. </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In finding how private equity is impacting disability services, we are flying not only blind, but we cannot even find the owners.</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5: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What PE Does (continued)</w:t>
      </w:r>
    </w:p>
    <w:p w:rsidR="00685B21" w:rsidRPr="00685B21" w:rsidRDefault="00685B21" w:rsidP="00685B21">
      <w:pPr>
        <w:rPr>
          <w:rFonts w:cs="Arial"/>
          <w:b/>
          <w:sz w:val="36"/>
          <w:szCs w:val="36"/>
        </w:rPr>
      </w:pPr>
      <w:r w:rsidRPr="00685B21">
        <w:rPr>
          <w:rFonts w:cs="Arial"/>
          <w:b/>
          <w:sz w:val="36"/>
          <w:szCs w:val="36"/>
        </w:rPr>
        <w:t xml:space="preserve">We really don't know if public money goes to consumer care. </w:t>
      </w:r>
    </w:p>
    <w:p w:rsidR="00685B21" w:rsidRPr="00685B21" w:rsidRDefault="00685B21" w:rsidP="00685B21">
      <w:pPr>
        <w:rPr>
          <w:rFonts w:cs="Arial"/>
          <w:b/>
          <w:sz w:val="36"/>
          <w:szCs w:val="36"/>
        </w:rPr>
      </w:pPr>
      <w:r w:rsidRPr="00685B21">
        <w:rPr>
          <w:rFonts w:cs="Arial"/>
          <w:b/>
          <w:sz w:val="36"/>
          <w:szCs w:val="36"/>
        </w:rPr>
        <w:t xml:space="preserve">We do know that the money for nursing home bail out during </w:t>
      </w:r>
      <w:proofErr w:type="spellStart"/>
      <w:r w:rsidRPr="00685B21">
        <w:rPr>
          <w:rFonts w:cs="Arial"/>
          <w:b/>
          <w:sz w:val="36"/>
          <w:szCs w:val="36"/>
        </w:rPr>
        <w:t>Covid</w:t>
      </w:r>
      <w:proofErr w:type="spellEnd"/>
      <w:r w:rsidRPr="00685B21">
        <w:rPr>
          <w:rFonts w:cs="Arial"/>
          <w:b/>
          <w:sz w:val="36"/>
          <w:szCs w:val="36"/>
        </w:rPr>
        <w:t xml:space="preserve"> did not go to patient care; most was spent administratively and/or to investors. </w:t>
      </w:r>
    </w:p>
    <w:p w:rsidR="00685B21" w:rsidRPr="00685B21" w:rsidRDefault="00685B21" w:rsidP="00685B21">
      <w:pPr>
        <w:rPr>
          <w:rFonts w:cs="Arial"/>
          <w:b/>
          <w:sz w:val="36"/>
          <w:szCs w:val="36"/>
        </w:rPr>
      </w:pPr>
      <w:r w:rsidRPr="00685B21">
        <w:rPr>
          <w:rFonts w:cs="Arial"/>
          <w:b/>
          <w:sz w:val="36"/>
          <w:szCs w:val="36"/>
        </w:rPr>
        <w:t>It will always be profit before consumers of private or private equity owned disability services.</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6: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How PE Effects Our Services</w:t>
      </w:r>
    </w:p>
    <w:p w:rsidR="00685B21" w:rsidRPr="00685B21" w:rsidRDefault="00685B21" w:rsidP="00685B21">
      <w:pPr>
        <w:rPr>
          <w:rFonts w:cs="Arial"/>
          <w:b/>
          <w:sz w:val="36"/>
          <w:szCs w:val="36"/>
        </w:rPr>
      </w:pPr>
      <w:r w:rsidRPr="00685B21">
        <w:rPr>
          <w:rFonts w:cs="Arial"/>
          <w:b/>
          <w:sz w:val="36"/>
          <w:szCs w:val="36"/>
        </w:rPr>
        <w:t>Examples of negative impacts include:</w:t>
      </w:r>
    </w:p>
    <w:p w:rsidR="00685B21" w:rsidRPr="00685B21" w:rsidRDefault="00685B21" w:rsidP="00685B21">
      <w:pPr>
        <w:rPr>
          <w:rFonts w:cs="Arial"/>
          <w:b/>
          <w:sz w:val="36"/>
          <w:szCs w:val="36"/>
        </w:rPr>
      </w:pPr>
      <w:r w:rsidRPr="00685B21">
        <w:rPr>
          <w:rFonts w:cs="Arial"/>
          <w:b/>
          <w:sz w:val="36"/>
          <w:szCs w:val="36"/>
        </w:rPr>
        <w:t>Workforce layoffs in DME leads to long repair times and material shortages</w:t>
      </w:r>
    </w:p>
    <w:p w:rsidR="00685B21" w:rsidRPr="00685B21" w:rsidRDefault="00685B21" w:rsidP="00685B21">
      <w:pPr>
        <w:rPr>
          <w:rFonts w:cs="Arial"/>
          <w:b/>
          <w:sz w:val="36"/>
          <w:szCs w:val="36"/>
        </w:rPr>
      </w:pPr>
      <w:r w:rsidRPr="00685B21">
        <w:rPr>
          <w:rFonts w:cs="Arial"/>
          <w:b/>
          <w:sz w:val="36"/>
          <w:szCs w:val="36"/>
        </w:rPr>
        <w:t>Closure of home healthcare providers, home and community-</w:t>
      </w:r>
      <w:proofErr w:type="spellStart"/>
      <w:r w:rsidRPr="00685B21">
        <w:rPr>
          <w:rFonts w:cs="Arial"/>
          <w:b/>
          <w:sz w:val="36"/>
          <w:szCs w:val="36"/>
        </w:rPr>
        <w:t>base</w:t>
      </w:r>
      <w:proofErr w:type="spellEnd"/>
      <w:r w:rsidRPr="00685B21">
        <w:rPr>
          <w:rFonts w:cs="Arial"/>
          <w:b/>
          <w:sz w:val="36"/>
          <w:szCs w:val="36"/>
        </w:rPr>
        <w:t xml:space="preserve"> service providers, nursing facilities, mental health services, hospitals, and clinics</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7: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How PE Effects Our Services (continued)</w:t>
      </w:r>
    </w:p>
    <w:p w:rsidR="00685B21" w:rsidRPr="00685B21" w:rsidRDefault="00685B21" w:rsidP="00685B21">
      <w:pPr>
        <w:rPr>
          <w:rFonts w:cs="Arial"/>
          <w:b/>
          <w:sz w:val="36"/>
          <w:szCs w:val="36"/>
        </w:rPr>
      </w:pPr>
      <w:r w:rsidRPr="00685B21">
        <w:rPr>
          <w:rFonts w:cs="Arial"/>
          <w:b/>
          <w:sz w:val="36"/>
          <w:szCs w:val="36"/>
        </w:rPr>
        <w:t>Decrease choice of providers offering specific services</w:t>
      </w:r>
    </w:p>
    <w:p w:rsidR="00685B21" w:rsidRPr="00685B21" w:rsidRDefault="00685B21" w:rsidP="00685B21">
      <w:pPr>
        <w:rPr>
          <w:rFonts w:cs="Arial"/>
          <w:b/>
          <w:sz w:val="36"/>
          <w:szCs w:val="36"/>
        </w:rPr>
      </w:pPr>
      <w:r w:rsidRPr="00685B21">
        <w:rPr>
          <w:rFonts w:cs="Arial"/>
          <w:b/>
          <w:sz w:val="36"/>
          <w:szCs w:val="36"/>
        </w:rPr>
        <w:t>Significant decreases in quality of care with correlating increases of neglect, abuse, isolation, institutionalization, and death of people with disabilities and aging adults</w:t>
      </w:r>
    </w:p>
    <w:p w:rsidR="00685B21" w:rsidRPr="00685B21" w:rsidRDefault="00685B21" w:rsidP="00685B21">
      <w:pPr>
        <w:rPr>
          <w:rFonts w:cs="Arial"/>
          <w:b/>
          <w:sz w:val="36"/>
          <w:szCs w:val="36"/>
        </w:rPr>
      </w:pPr>
      <w:r w:rsidRPr="00685B21">
        <w:rPr>
          <w:rFonts w:cs="Arial"/>
          <w:b/>
          <w:sz w:val="36"/>
          <w:szCs w:val="36"/>
        </w:rPr>
        <w:t xml:space="preserve">PE now taking over: Autism and Youth Behavioral </w:t>
      </w:r>
      <w:proofErr w:type="spellStart"/>
      <w:r w:rsidRPr="00685B21">
        <w:rPr>
          <w:rFonts w:cs="Arial"/>
          <w:b/>
          <w:sz w:val="36"/>
          <w:szCs w:val="36"/>
        </w:rPr>
        <w:t>Svcs</w:t>
      </w:r>
      <w:proofErr w:type="spellEnd"/>
      <w:r w:rsidRPr="00685B21">
        <w:rPr>
          <w:rFonts w:cs="Arial"/>
          <w:b/>
          <w:sz w:val="36"/>
          <w:szCs w:val="36"/>
        </w:rPr>
        <w:t xml:space="preserve">, Special Education, Foster Care, Home Health, HCBS, Guardianships, Hospice, Housing, Nursing Facilities, Prison </w:t>
      </w:r>
      <w:proofErr w:type="spellStart"/>
      <w:r w:rsidRPr="00685B21">
        <w:rPr>
          <w:rFonts w:cs="Arial"/>
          <w:b/>
          <w:sz w:val="36"/>
          <w:szCs w:val="36"/>
        </w:rPr>
        <w:t>Svcs</w:t>
      </w:r>
      <w:proofErr w:type="spellEnd"/>
      <w:r w:rsidRPr="00685B21">
        <w:rPr>
          <w:rFonts w:cs="Arial"/>
          <w:b/>
          <w:sz w:val="36"/>
          <w:szCs w:val="36"/>
        </w:rPr>
        <w:t>, Transporta</w:t>
      </w:r>
      <w:r>
        <w:rPr>
          <w:rFonts w:cs="Arial"/>
          <w:b/>
          <w:sz w:val="36"/>
          <w:szCs w:val="36"/>
        </w:rPr>
        <w:t xml:space="preserve">tion, VA </w:t>
      </w:r>
      <w:proofErr w:type="spellStart"/>
      <w:r>
        <w:rPr>
          <w:rFonts w:cs="Arial"/>
          <w:b/>
          <w:sz w:val="36"/>
          <w:szCs w:val="36"/>
        </w:rPr>
        <w:t>Svcs</w:t>
      </w:r>
      <w:proofErr w:type="spellEnd"/>
      <w:r>
        <w:rPr>
          <w:rFonts w:cs="Arial"/>
          <w:b/>
          <w:sz w:val="36"/>
          <w:szCs w:val="36"/>
        </w:rPr>
        <w:t>, Insurance, MCO's</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8: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What PE Means to Consumers &amp; Our IL Philosophy</w:t>
      </w:r>
    </w:p>
    <w:p w:rsidR="00685B21" w:rsidRPr="00685B21" w:rsidRDefault="00685B21" w:rsidP="00685B21">
      <w:pPr>
        <w:rPr>
          <w:rFonts w:cs="Arial"/>
          <w:b/>
          <w:sz w:val="36"/>
          <w:szCs w:val="36"/>
        </w:rPr>
      </w:pPr>
      <w:r w:rsidRPr="00685B21">
        <w:rPr>
          <w:rFonts w:cs="Arial"/>
          <w:b/>
          <w:sz w:val="36"/>
          <w:szCs w:val="36"/>
        </w:rPr>
        <w:t xml:space="preserve">IL values will always be for the betterment of disability services and resources, to help people live in our communities. Individuals with disabilities have the inherent right to self-direction in autonomy. </w:t>
      </w:r>
    </w:p>
    <w:p w:rsidR="00685B21" w:rsidRPr="00685B21" w:rsidRDefault="00685B21" w:rsidP="00685B21">
      <w:pPr>
        <w:rPr>
          <w:rFonts w:cs="Arial"/>
          <w:b/>
          <w:sz w:val="36"/>
          <w:szCs w:val="36"/>
        </w:rPr>
      </w:pPr>
      <w:r w:rsidRPr="00685B21">
        <w:rPr>
          <w:rFonts w:cs="Arial"/>
          <w:b/>
          <w:sz w:val="36"/>
          <w:szCs w:val="36"/>
        </w:rPr>
        <w:t xml:space="preserve">Self-determination, consumer control, consumer direction, and person-centered planning gives us the dignity to make sound choices to fully participate and integrate into our community. </w:t>
      </w:r>
    </w:p>
    <w:p w:rsidR="00685B21" w:rsidRPr="00685B21" w:rsidRDefault="00685B21" w:rsidP="00685B21">
      <w:pPr>
        <w:rPr>
          <w:rFonts w:cs="Arial"/>
          <w:b/>
          <w:sz w:val="36"/>
          <w:szCs w:val="36"/>
        </w:rPr>
      </w:pPr>
      <w:r w:rsidRPr="00685B21">
        <w:rPr>
          <w:rFonts w:cs="Arial"/>
          <w:b/>
          <w:sz w:val="36"/>
          <w:szCs w:val="36"/>
        </w:rPr>
        <w:lastRenderedPageBreak/>
        <w:t>PE’s wealth extraction of our services always will be contrary to our philosophy – and exacerbates the structural ableism, racism, and economic disparities that already exist in our healthcare system.</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9: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What PE Means to Consumers &amp; Our IL Philosophy (continued)</w:t>
      </w:r>
    </w:p>
    <w:p w:rsidR="00685B21" w:rsidRPr="00685B21" w:rsidRDefault="00685B21" w:rsidP="00685B21">
      <w:pPr>
        <w:rPr>
          <w:rFonts w:cs="Arial"/>
          <w:b/>
          <w:sz w:val="36"/>
          <w:szCs w:val="36"/>
        </w:rPr>
      </w:pPr>
      <w:r w:rsidRPr="00685B21">
        <w:rPr>
          <w:rFonts w:cs="Arial"/>
          <w:b/>
          <w:sz w:val="36"/>
          <w:szCs w:val="36"/>
        </w:rPr>
        <w:t>PE cannot make a profit by giving us better services; it will always be profit over people. This threatens our access to community living and better inter-dependent/independent living at its core.</w:t>
      </w:r>
    </w:p>
    <w:p w:rsidR="00685B21" w:rsidRPr="00685B21" w:rsidRDefault="00685B21" w:rsidP="00685B21">
      <w:pPr>
        <w:rPr>
          <w:rFonts w:cs="Arial"/>
          <w:b/>
          <w:sz w:val="36"/>
          <w:szCs w:val="36"/>
        </w:rPr>
      </w:pPr>
      <w:r w:rsidRPr="00685B21">
        <w:rPr>
          <w:rFonts w:cs="Arial"/>
          <w:b/>
          <w:sz w:val="36"/>
          <w:szCs w:val="36"/>
        </w:rPr>
        <w:t xml:space="preserve">PE’s focus on profit margin eliminates better quality of care or service, including quality of staffing, more staffing, the quality of the programs that exist, and innovative programs that could be instigated. </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10: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What PE Means to Consumers &amp; Our IL Philosophy (continued)</w:t>
      </w:r>
    </w:p>
    <w:p w:rsidR="00685B21" w:rsidRPr="00685B21" w:rsidRDefault="00685B21" w:rsidP="00685B21">
      <w:pPr>
        <w:rPr>
          <w:rFonts w:cs="Arial"/>
          <w:b/>
          <w:sz w:val="36"/>
          <w:szCs w:val="36"/>
        </w:rPr>
      </w:pPr>
      <w:r w:rsidRPr="00685B21">
        <w:rPr>
          <w:rFonts w:cs="Arial"/>
          <w:b/>
          <w:sz w:val="36"/>
          <w:szCs w:val="36"/>
        </w:rPr>
        <w:t>PE is fundamentally incompatible with the quality of disability services and healthcare.</w:t>
      </w:r>
    </w:p>
    <w:p w:rsidR="00685B21" w:rsidRPr="00685B21" w:rsidRDefault="00685B21" w:rsidP="00685B21">
      <w:pPr>
        <w:rPr>
          <w:rFonts w:cs="Arial"/>
          <w:b/>
          <w:sz w:val="36"/>
          <w:szCs w:val="36"/>
        </w:rPr>
      </w:pPr>
      <w:r w:rsidRPr="00685B21">
        <w:rPr>
          <w:rFonts w:cs="Arial"/>
          <w:b/>
          <w:sz w:val="36"/>
          <w:szCs w:val="36"/>
        </w:rPr>
        <w:lastRenderedPageBreak/>
        <w:t>Healthcare should include support systems for a path towards community-based living.</w:t>
      </w:r>
    </w:p>
    <w:p w:rsidR="00685B21" w:rsidRPr="00685B21" w:rsidRDefault="00685B21" w:rsidP="00685B21">
      <w:pPr>
        <w:rPr>
          <w:rFonts w:cs="Arial"/>
          <w:b/>
          <w:sz w:val="36"/>
          <w:szCs w:val="36"/>
        </w:rPr>
      </w:pPr>
      <w:r w:rsidRPr="00685B21">
        <w:rPr>
          <w:rFonts w:cs="Arial"/>
          <w:b/>
          <w:sz w:val="36"/>
          <w:szCs w:val="36"/>
        </w:rPr>
        <w:t>Substandard services inherently degrade our ability to stay in the community instead of institutions.</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11: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What PE Means to Consumers &amp; Our IL Philosophy (continued)</w:t>
      </w:r>
    </w:p>
    <w:p w:rsidR="00685B21" w:rsidRPr="00685B21" w:rsidRDefault="00685B21" w:rsidP="00685B21">
      <w:pPr>
        <w:rPr>
          <w:rFonts w:cs="Arial"/>
          <w:b/>
          <w:sz w:val="36"/>
          <w:szCs w:val="36"/>
        </w:rPr>
      </w:pPr>
      <w:r w:rsidRPr="00685B21">
        <w:rPr>
          <w:rFonts w:cs="Arial"/>
          <w:b/>
          <w:sz w:val="36"/>
          <w:szCs w:val="36"/>
        </w:rPr>
        <w:t xml:space="preserve">We have the right not to be segregated into institutions, group homes, guardianships. We have the right for services to live outside of institution or nursing home or guardianship. </w:t>
      </w:r>
    </w:p>
    <w:p w:rsidR="00685B21" w:rsidRPr="00685B21" w:rsidRDefault="00685B21" w:rsidP="00685B21">
      <w:pPr>
        <w:rPr>
          <w:rFonts w:cs="Arial"/>
          <w:b/>
          <w:sz w:val="36"/>
          <w:szCs w:val="36"/>
        </w:rPr>
      </w:pPr>
      <w:r w:rsidRPr="00685B21">
        <w:rPr>
          <w:rFonts w:cs="Arial"/>
          <w:b/>
          <w:sz w:val="36"/>
          <w:szCs w:val="36"/>
        </w:rPr>
        <w:t xml:space="preserve">We have the right to advocate our federal, state or local government to enforce, to implement, to regulate and to access our civil rights. </w:t>
      </w:r>
    </w:p>
    <w:p w:rsidR="00685B21" w:rsidRPr="00685B21" w:rsidRDefault="00685B21" w:rsidP="00685B21">
      <w:pPr>
        <w:rPr>
          <w:rFonts w:cs="Arial"/>
          <w:b/>
          <w:sz w:val="36"/>
          <w:szCs w:val="36"/>
        </w:rPr>
      </w:pPr>
      <w:r w:rsidRPr="00685B21">
        <w:rPr>
          <w:rFonts w:cs="Arial"/>
          <w:b/>
          <w:sz w:val="36"/>
          <w:szCs w:val="36"/>
        </w:rPr>
        <w:t>Our philosophy of consumer control, and consumer direction must be incorporated into any system, so that it promotes integration and participation of disabled persons in the community.</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12: </w:t>
      </w:r>
    </w:p>
    <w:p w:rsidR="00685B21" w:rsidRPr="00685B21" w:rsidRDefault="00685B21" w:rsidP="00685B21">
      <w:pPr>
        <w:rPr>
          <w:rFonts w:cs="Arial"/>
          <w:b/>
          <w:sz w:val="36"/>
          <w:szCs w:val="36"/>
        </w:rPr>
      </w:pPr>
      <w:r w:rsidRPr="00685B21">
        <w:rPr>
          <w:rFonts w:cs="Arial"/>
          <w:b/>
          <w:sz w:val="36"/>
          <w:szCs w:val="36"/>
        </w:rPr>
        <w:t>DME Connecticut</w:t>
      </w:r>
    </w:p>
    <w:p w:rsidR="00685B21" w:rsidRPr="00685B21" w:rsidRDefault="00685B21" w:rsidP="00685B21">
      <w:pPr>
        <w:rPr>
          <w:rFonts w:cs="Arial"/>
          <w:b/>
          <w:sz w:val="36"/>
          <w:szCs w:val="36"/>
        </w:rPr>
      </w:pPr>
      <w:r w:rsidRPr="00685B21">
        <w:rPr>
          <w:rFonts w:cs="Arial"/>
          <w:b/>
          <w:sz w:val="36"/>
          <w:szCs w:val="36"/>
        </w:rPr>
        <w:lastRenderedPageBreak/>
        <w:t>CT is the first state in the country to directly regulate the PE-owned companies which have taken over the wheelchair supply business</w:t>
      </w:r>
    </w:p>
    <w:p w:rsidR="00685B21" w:rsidRPr="00685B21" w:rsidRDefault="00685B21" w:rsidP="00685B21">
      <w:pPr>
        <w:rPr>
          <w:rFonts w:cs="Arial"/>
          <w:b/>
          <w:sz w:val="36"/>
          <w:szCs w:val="36"/>
        </w:rPr>
      </w:pPr>
      <w:r w:rsidRPr="00685B21">
        <w:rPr>
          <w:rFonts w:cs="Arial"/>
          <w:b/>
          <w:sz w:val="36"/>
          <w:szCs w:val="36"/>
        </w:rPr>
        <w:t>Passed a law that imposes a deadline for timely repairs and creates a council of stakeholders which will receive mandatory reports from the industry so th</w:t>
      </w:r>
      <w:r>
        <w:rPr>
          <w:rFonts w:cs="Arial"/>
          <w:b/>
          <w:sz w:val="36"/>
          <w:szCs w:val="36"/>
        </w:rPr>
        <w:t>eir compliance can be monitored</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13: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DME CT (continued)</w:t>
      </w:r>
    </w:p>
    <w:p w:rsidR="00685B21" w:rsidRPr="00685B21" w:rsidRDefault="00685B21" w:rsidP="00685B21">
      <w:pPr>
        <w:rPr>
          <w:rFonts w:cs="Arial"/>
          <w:b/>
          <w:sz w:val="36"/>
          <w:szCs w:val="36"/>
        </w:rPr>
      </w:pPr>
      <w:r w:rsidRPr="00685B21">
        <w:rPr>
          <w:rFonts w:cs="Arial"/>
          <w:b/>
          <w:sz w:val="36"/>
          <w:szCs w:val="36"/>
        </w:rPr>
        <w:t xml:space="preserve">The law also bars prior authorization for wheelchair repairs by Medicaid and private insurance payers (to the extent </w:t>
      </w:r>
      <w:proofErr w:type="spellStart"/>
      <w:r w:rsidRPr="00685B21">
        <w:rPr>
          <w:rFonts w:cs="Arial"/>
          <w:b/>
          <w:sz w:val="36"/>
          <w:szCs w:val="36"/>
        </w:rPr>
        <w:t>regulable</w:t>
      </w:r>
      <w:proofErr w:type="spellEnd"/>
      <w:r w:rsidRPr="00685B21">
        <w:rPr>
          <w:rFonts w:cs="Arial"/>
          <w:b/>
          <w:sz w:val="36"/>
          <w:szCs w:val="36"/>
        </w:rPr>
        <w:t xml:space="preserve"> by the state) for the first five years after purchase, which will remove a cause of repair delays not within the industry’s control.  </w:t>
      </w:r>
    </w:p>
    <w:p w:rsidR="00685B21" w:rsidRPr="00685B21" w:rsidRDefault="00685B21" w:rsidP="00685B21">
      <w:pPr>
        <w:rPr>
          <w:rFonts w:cs="Arial"/>
          <w:b/>
          <w:sz w:val="36"/>
          <w:szCs w:val="36"/>
        </w:rPr>
      </w:pPr>
      <w:r w:rsidRPr="00685B21">
        <w:rPr>
          <w:rFonts w:cs="Arial"/>
          <w:b/>
          <w:sz w:val="36"/>
          <w:szCs w:val="36"/>
        </w:rPr>
        <w:t>If necessary, future legislation can impose monetary sanctions for continued non-compliance.”  Sheldon Tubman</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14: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DME CT (continued)</w:t>
      </w:r>
    </w:p>
    <w:p w:rsidR="00685B21" w:rsidRPr="00685B21" w:rsidRDefault="00685B21" w:rsidP="00685B21">
      <w:pPr>
        <w:rPr>
          <w:rFonts w:cs="Arial"/>
          <w:b/>
          <w:sz w:val="36"/>
          <w:szCs w:val="36"/>
        </w:rPr>
      </w:pPr>
      <w:r w:rsidRPr="00685B21">
        <w:rPr>
          <w:rFonts w:cs="Arial"/>
          <w:b/>
          <w:sz w:val="36"/>
          <w:szCs w:val="36"/>
        </w:rPr>
        <w:t>Coming Together</w:t>
      </w:r>
    </w:p>
    <w:p w:rsidR="00685B21" w:rsidRPr="00685B21" w:rsidRDefault="00685B21" w:rsidP="00685B21">
      <w:pPr>
        <w:rPr>
          <w:rFonts w:cs="Arial"/>
          <w:b/>
          <w:sz w:val="36"/>
          <w:szCs w:val="36"/>
        </w:rPr>
      </w:pPr>
      <w:r w:rsidRPr="00685B21">
        <w:rPr>
          <w:rFonts w:cs="Arial"/>
          <w:b/>
          <w:sz w:val="36"/>
          <w:szCs w:val="36"/>
        </w:rPr>
        <w:lastRenderedPageBreak/>
        <w:t>The DATA: CT Survey and the Industry (PE)</w:t>
      </w:r>
    </w:p>
    <w:p w:rsidR="00685B21" w:rsidRPr="00685B21" w:rsidRDefault="00685B21" w:rsidP="00685B21">
      <w:pPr>
        <w:rPr>
          <w:rFonts w:cs="Arial"/>
          <w:b/>
          <w:sz w:val="36"/>
          <w:szCs w:val="36"/>
        </w:rPr>
      </w:pPr>
      <w:r w:rsidRPr="00685B21">
        <w:rPr>
          <w:rFonts w:cs="Arial"/>
          <w:b/>
          <w:sz w:val="36"/>
          <w:szCs w:val="36"/>
        </w:rPr>
        <w:t>Wheelchair Repair Task Force</w:t>
      </w:r>
    </w:p>
    <w:p w:rsidR="00685B21" w:rsidRPr="00685B21" w:rsidRDefault="00685B21" w:rsidP="00685B21">
      <w:pPr>
        <w:rPr>
          <w:rFonts w:cs="Arial"/>
          <w:b/>
          <w:sz w:val="36"/>
          <w:szCs w:val="36"/>
        </w:rPr>
      </w:pPr>
      <w:r w:rsidRPr="00685B21">
        <w:rPr>
          <w:rFonts w:cs="Arial"/>
          <w:b/>
          <w:sz w:val="36"/>
          <w:szCs w:val="36"/>
        </w:rPr>
        <w:t>The Bill</w:t>
      </w:r>
    </w:p>
    <w:p w:rsidR="00685B21" w:rsidRPr="00685B21" w:rsidRDefault="00685B21" w:rsidP="00685B21">
      <w:pPr>
        <w:rPr>
          <w:rFonts w:cs="Arial"/>
          <w:b/>
          <w:sz w:val="36"/>
          <w:szCs w:val="36"/>
        </w:rPr>
      </w:pPr>
      <w:r w:rsidRPr="00685B21">
        <w:rPr>
          <w:rFonts w:cs="Arial"/>
          <w:b/>
          <w:sz w:val="36"/>
          <w:szCs w:val="36"/>
        </w:rPr>
        <w:t xml:space="preserve">Volunteer to help get similar laws passed in your state! </w:t>
      </w:r>
    </w:p>
    <w:p w:rsidR="00685B21" w:rsidRPr="00685B21" w:rsidRDefault="00685B21" w:rsidP="00685B21">
      <w:pPr>
        <w:rPr>
          <w:rFonts w:cs="Arial"/>
          <w:b/>
          <w:sz w:val="36"/>
          <w:szCs w:val="36"/>
        </w:rPr>
      </w:pPr>
      <w:hyperlink r:id="rId4" w:history="1">
        <w:r w:rsidRPr="000279DB">
          <w:rPr>
            <w:rStyle w:val="Hyperlink"/>
            <w:rFonts w:cs="Arial"/>
            <w:b/>
            <w:sz w:val="36"/>
            <w:szCs w:val="36"/>
          </w:rPr>
          <w:t>https://bit.ly/ct2024_sb308_info</w:t>
        </w:r>
      </w:hyperlink>
      <w:r>
        <w:rPr>
          <w:rFonts w:cs="Arial"/>
          <w:b/>
          <w:sz w:val="36"/>
          <w:szCs w:val="36"/>
        </w:rPr>
        <w:t xml:space="preserve"> </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15: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DME Massachusetts </w:t>
      </w:r>
    </w:p>
    <w:p w:rsidR="00685B21" w:rsidRPr="00685B21" w:rsidRDefault="00685B21" w:rsidP="00685B21">
      <w:pPr>
        <w:rPr>
          <w:rFonts w:cs="Arial"/>
          <w:b/>
          <w:sz w:val="36"/>
          <w:szCs w:val="36"/>
        </w:rPr>
      </w:pPr>
      <w:r w:rsidRPr="00685B21">
        <w:rPr>
          <w:rFonts w:cs="Arial"/>
          <w:b/>
          <w:sz w:val="36"/>
          <w:szCs w:val="36"/>
        </w:rPr>
        <w:t>Partnership of BCIL, Disability Consortium Policy (DPC) and the Disability Law Center (DLC</w:t>
      </w:r>
      <w:proofErr w:type="gramStart"/>
      <w:r w:rsidRPr="00685B21">
        <w:rPr>
          <w:rFonts w:cs="Arial"/>
          <w:b/>
          <w:sz w:val="36"/>
          <w:szCs w:val="36"/>
        </w:rPr>
        <w:t>)(</w:t>
      </w:r>
      <w:proofErr w:type="gramEnd"/>
      <w:r w:rsidRPr="00685B21">
        <w:rPr>
          <w:rFonts w:cs="Arial"/>
          <w:b/>
          <w:sz w:val="36"/>
          <w:szCs w:val="36"/>
        </w:rPr>
        <w:t>Massachusetts P&amp;A), combining grassroots community organizing, policy advocacy and legal advocacy.</w:t>
      </w:r>
    </w:p>
    <w:p w:rsidR="00685B21" w:rsidRPr="00685B21" w:rsidRDefault="00685B21" w:rsidP="00685B21">
      <w:pPr>
        <w:rPr>
          <w:rFonts w:cs="Arial"/>
          <w:b/>
          <w:sz w:val="36"/>
          <w:szCs w:val="36"/>
        </w:rPr>
      </w:pPr>
      <w:r w:rsidRPr="00685B21">
        <w:rPr>
          <w:rFonts w:cs="Arial"/>
          <w:b/>
          <w:sz w:val="36"/>
          <w:szCs w:val="36"/>
        </w:rPr>
        <w:t>Legal advocacy included 50 survey of wheelchair warranty/repair laws around the country, done by joint fellow for DLC and National Consumer Law Center.</w:t>
      </w:r>
    </w:p>
    <w:p w:rsidR="00685B21" w:rsidRPr="00685B21" w:rsidRDefault="00685B21" w:rsidP="00685B21">
      <w:pPr>
        <w:rPr>
          <w:rFonts w:cs="Arial"/>
          <w:b/>
          <w:sz w:val="36"/>
          <w:szCs w:val="36"/>
        </w:rPr>
      </w:pPr>
      <w:r w:rsidRPr="00685B21">
        <w:rPr>
          <w:rFonts w:cs="Arial"/>
          <w:b/>
          <w:sz w:val="36"/>
          <w:szCs w:val="36"/>
        </w:rPr>
        <w:t>Resulted in realizing our law was among the worst, and proposing new bill</w:t>
      </w:r>
      <w:r>
        <w:rPr>
          <w:rFonts w:cs="Arial"/>
          <w:b/>
          <w:sz w:val="36"/>
          <w:szCs w:val="36"/>
        </w:rPr>
        <w:t xml:space="preserve"> so it would be among the best</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16: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lastRenderedPageBreak/>
        <w:t>DME MA (continued)</w:t>
      </w:r>
    </w:p>
    <w:p w:rsidR="00685B21" w:rsidRPr="00685B21" w:rsidRDefault="00685B21" w:rsidP="00685B21">
      <w:pPr>
        <w:rPr>
          <w:rFonts w:cs="Arial"/>
          <w:b/>
          <w:sz w:val="36"/>
          <w:szCs w:val="36"/>
        </w:rPr>
      </w:pPr>
      <w:r w:rsidRPr="00685B21">
        <w:rPr>
          <w:rFonts w:cs="Arial"/>
          <w:b/>
          <w:sz w:val="36"/>
          <w:szCs w:val="36"/>
        </w:rPr>
        <w:t>2022-23 Legislative Session:</w:t>
      </w:r>
    </w:p>
    <w:p w:rsidR="00685B21" w:rsidRPr="00685B21" w:rsidRDefault="00685B21" w:rsidP="00685B21">
      <w:pPr>
        <w:rPr>
          <w:rFonts w:cs="Arial"/>
          <w:b/>
          <w:sz w:val="36"/>
          <w:szCs w:val="36"/>
        </w:rPr>
      </w:pPr>
      <w:r w:rsidRPr="00685B21">
        <w:rPr>
          <w:rFonts w:cs="Arial"/>
          <w:b/>
          <w:sz w:val="36"/>
          <w:szCs w:val="36"/>
        </w:rPr>
        <w:t>Negotiations with wheelchair industry unsuccessful</w:t>
      </w:r>
    </w:p>
    <w:p w:rsidR="00685B21" w:rsidRPr="00685B21" w:rsidRDefault="00685B21" w:rsidP="00685B21">
      <w:pPr>
        <w:rPr>
          <w:rFonts w:cs="Arial"/>
          <w:b/>
          <w:sz w:val="36"/>
          <w:szCs w:val="36"/>
        </w:rPr>
      </w:pPr>
      <w:r w:rsidRPr="00685B21">
        <w:rPr>
          <w:rFonts w:cs="Arial"/>
          <w:b/>
          <w:sz w:val="36"/>
          <w:szCs w:val="36"/>
        </w:rPr>
        <w:t>Media work and organizing around committee hearing and personal stories; coalition building</w:t>
      </w:r>
    </w:p>
    <w:p w:rsidR="00685B21" w:rsidRPr="00685B21" w:rsidRDefault="00685B21" w:rsidP="00685B21">
      <w:pPr>
        <w:rPr>
          <w:rFonts w:cs="Arial"/>
          <w:b/>
          <w:sz w:val="36"/>
          <w:szCs w:val="36"/>
        </w:rPr>
      </w:pPr>
      <w:r w:rsidRPr="00685B21">
        <w:rPr>
          <w:rFonts w:cs="Arial"/>
          <w:b/>
          <w:sz w:val="36"/>
          <w:szCs w:val="36"/>
        </w:rPr>
        <w:t>Bill passed Senate but not House before session ended</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SLIDE 17: DME MA (continued)</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2023-2024 Legislative Session:</w:t>
      </w:r>
    </w:p>
    <w:p w:rsidR="00685B21" w:rsidRPr="00685B21" w:rsidRDefault="00685B21" w:rsidP="00685B21">
      <w:pPr>
        <w:rPr>
          <w:rFonts w:cs="Arial"/>
          <w:b/>
          <w:sz w:val="36"/>
          <w:szCs w:val="36"/>
        </w:rPr>
      </w:pPr>
      <w:r w:rsidRPr="00685B21">
        <w:rPr>
          <w:rFonts w:cs="Arial"/>
          <w:b/>
          <w:sz w:val="36"/>
          <w:szCs w:val="36"/>
        </w:rPr>
        <w:t>More media work; organizing</w:t>
      </w:r>
    </w:p>
    <w:p w:rsidR="00685B21" w:rsidRPr="00685B21" w:rsidRDefault="00685B21" w:rsidP="00685B21">
      <w:pPr>
        <w:rPr>
          <w:rFonts w:cs="Arial"/>
          <w:b/>
          <w:sz w:val="36"/>
          <w:szCs w:val="36"/>
        </w:rPr>
      </w:pPr>
      <w:r w:rsidRPr="00685B21">
        <w:rPr>
          <w:rFonts w:cs="Arial"/>
          <w:b/>
          <w:sz w:val="36"/>
          <w:szCs w:val="36"/>
        </w:rPr>
        <w:t xml:space="preserve">Bill passes Senate </w:t>
      </w:r>
      <w:proofErr w:type="gramStart"/>
      <w:r w:rsidRPr="00685B21">
        <w:rPr>
          <w:rFonts w:cs="Arial"/>
          <w:b/>
          <w:sz w:val="36"/>
          <w:szCs w:val="36"/>
        </w:rPr>
        <w:t>again;  currently</w:t>
      </w:r>
      <w:proofErr w:type="gramEnd"/>
      <w:r w:rsidRPr="00685B21">
        <w:rPr>
          <w:rFonts w:cs="Arial"/>
          <w:b/>
          <w:sz w:val="36"/>
          <w:szCs w:val="36"/>
        </w:rPr>
        <w:t xml:space="preserve"> pending in House and facing industry opposition</w:t>
      </w:r>
    </w:p>
    <w:p w:rsidR="00685B21" w:rsidRPr="00685B21" w:rsidRDefault="00685B21" w:rsidP="00685B21">
      <w:pPr>
        <w:rPr>
          <w:rFonts w:cs="Arial"/>
          <w:b/>
          <w:sz w:val="36"/>
          <w:szCs w:val="36"/>
        </w:rPr>
      </w:pPr>
      <w:r w:rsidRPr="00685B21">
        <w:rPr>
          <w:rFonts w:cs="Arial"/>
          <w:b/>
          <w:sz w:val="36"/>
          <w:szCs w:val="36"/>
        </w:rPr>
        <w:t>For updates see S.2546, https://malegislature.gov/Bills/193/S2546</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18: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Key Components S.2546 </w:t>
      </w:r>
    </w:p>
    <w:p w:rsidR="00685B21" w:rsidRPr="00685B21" w:rsidRDefault="00685B21" w:rsidP="00685B21">
      <w:pPr>
        <w:rPr>
          <w:rFonts w:cs="Arial"/>
          <w:b/>
          <w:sz w:val="36"/>
          <w:szCs w:val="36"/>
        </w:rPr>
      </w:pPr>
      <w:r w:rsidRPr="00685B21">
        <w:rPr>
          <w:rFonts w:cs="Arial"/>
          <w:b/>
          <w:sz w:val="36"/>
          <w:szCs w:val="36"/>
        </w:rPr>
        <w:t>Expands warranty to 2 years, enforceable by consumers</w:t>
      </w:r>
    </w:p>
    <w:p w:rsidR="00685B21" w:rsidRPr="00685B21" w:rsidRDefault="00685B21" w:rsidP="00685B21">
      <w:pPr>
        <w:rPr>
          <w:rFonts w:cs="Arial"/>
          <w:b/>
          <w:sz w:val="36"/>
          <w:szCs w:val="36"/>
        </w:rPr>
      </w:pPr>
      <w:r w:rsidRPr="00685B21">
        <w:rPr>
          <w:rFonts w:cs="Arial"/>
          <w:b/>
          <w:sz w:val="36"/>
          <w:szCs w:val="36"/>
        </w:rPr>
        <w:lastRenderedPageBreak/>
        <w:t>Requires assessments of defects in 3-7 days and loaner chairs within 4-8 days</w:t>
      </w:r>
    </w:p>
    <w:p w:rsidR="00685B21" w:rsidRPr="00685B21" w:rsidRDefault="00685B21" w:rsidP="00685B21">
      <w:pPr>
        <w:rPr>
          <w:rFonts w:cs="Arial"/>
          <w:b/>
          <w:sz w:val="36"/>
          <w:szCs w:val="36"/>
        </w:rPr>
      </w:pPr>
      <w:r w:rsidRPr="00685B21">
        <w:rPr>
          <w:rFonts w:cs="Arial"/>
          <w:b/>
          <w:sz w:val="36"/>
          <w:szCs w:val="36"/>
        </w:rPr>
        <w:t>Expands lemon law remedies</w:t>
      </w:r>
    </w:p>
    <w:p w:rsidR="00685B21" w:rsidRPr="00685B21" w:rsidRDefault="00685B21" w:rsidP="00685B21">
      <w:pPr>
        <w:rPr>
          <w:rFonts w:cs="Arial"/>
          <w:b/>
          <w:sz w:val="36"/>
          <w:szCs w:val="36"/>
        </w:rPr>
      </w:pPr>
      <w:r w:rsidRPr="00685B21">
        <w:rPr>
          <w:rFonts w:cs="Arial"/>
          <w:b/>
          <w:sz w:val="36"/>
          <w:szCs w:val="36"/>
        </w:rPr>
        <w:t>Requires provider to have inventory of parts available &amp; overnight shipping</w:t>
      </w:r>
    </w:p>
    <w:p w:rsidR="00685B21" w:rsidRPr="00685B21" w:rsidRDefault="00685B21" w:rsidP="00685B21">
      <w:pPr>
        <w:rPr>
          <w:rFonts w:cs="Arial"/>
          <w:b/>
          <w:sz w:val="36"/>
          <w:szCs w:val="36"/>
        </w:rPr>
      </w:pPr>
      <w:r w:rsidRPr="00685B21">
        <w:rPr>
          <w:rFonts w:cs="Arial"/>
          <w:b/>
          <w:sz w:val="36"/>
          <w:szCs w:val="36"/>
        </w:rPr>
        <w:t>Requires provider record keeping</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19: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S.2546 (continued)</w:t>
      </w:r>
    </w:p>
    <w:p w:rsidR="00685B21" w:rsidRPr="00685B21" w:rsidRDefault="00685B21" w:rsidP="00685B21">
      <w:pPr>
        <w:rPr>
          <w:rFonts w:cs="Arial"/>
          <w:b/>
          <w:sz w:val="36"/>
          <w:szCs w:val="36"/>
        </w:rPr>
      </w:pPr>
      <w:r w:rsidRPr="00685B21">
        <w:rPr>
          <w:rFonts w:cs="Arial"/>
          <w:b/>
          <w:sz w:val="36"/>
          <w:szCs w:val="36"/>
        </w:rPr>
        <w:t>Has enforceable remedies through arbitration, consumer lawsuit (double damages + equitable relief + attorney’s fees) or Attorney General action</w:t>
      </w:r>
    </w:p>
    <w:p w:rsidR="00685B21" w:rsidRPr="00685B21" w:rsidRDefault="00685B21" w:rsidP="00685B21">
      <w:pPr>
        <w:rPr>
          <w:rFonts w:cs="Arial"/>
          <w:b/>
          <w:sz w:val="36"/>
          <w:szCs w:val="36"/>
        </w:rPr>
      </w:pPr>
      <w:r w:rsidRPr="00685B21">
        <w:rPr>
          <w:rFonts w:cs="Arial"/>
          <w:b/>
          <w:sz w:val="36"/>
          <w:szCs w:val="36"/>
        </w:rPr>
        <w:t>Requires industry to pay collateral costs if they fail to repair</w:t>
      </w:r>
    </w:p>
    <w:p w:rsidR="00685B21" w:rsidRPr="00685B21" w:rsidRDefault="00685B21" w:rsidP="00685B21">
      <w:pPr>
        <w:rPr>
          <w:rFonts w:cs="Arial"/>
          <w:b/>
          <w:sz w:val="36"/>
          <w:szCs w:val="36"/>
        </w:rPr>
      </w:pPr>
      <w:r w:rsidRPr="00685B21">
        <w:rPr>
          <w:rFonts w:cs="Arial"/>
          <w:b/>
          <w:sz w:val="36"/>
          <w:szCs w:val="36"/>
        </w:rPr>
        <w:t>Removes prior language in statute related to unauthorized modifications</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20: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S.2546 (continued)</w:t>
      </w:r>
    </w:p>
    <w:p w:rsidR="00685B21" w:rsidRPr="00685B21" w:rsidRDefault="00685B21" w:rsidP="00685B21">
      <w:pPr>
        <w:rPr>
          <w:rFonts w:cs="Arial"/>
          <w:b/>
          <w:sz w:val="36"/>
          <w:szCs w:val="36"/>
        </w:rPr>
      </w:pPr>
      <w:r w:rsidRPr="00685B21">
        <w:rPr>
          <w:rFonts w:cs="Arial"/>
          <w:b/>
          <w:sz w:val="36"/>
          <w:szCs w:val="36"/>
        </w:rPr>
        <w:t>Applies to both providers and manufacturers</w:t>
      </w:r>
    </w:p>
    <w:p w:rsidR="00685B21" w:rsidRPr="00685B21" w:rsidRDefault="00685B21" w:rsidP="00685B21">
      <w:pPr>
        <w:rPr>
          <w:rFonts w:cs="Arial"/>
          <w:b/>
          <w:sz w:val="36"/>
          <w:szCs w:val="36"/>
        </w:rPr>
      </w:pPr>
      <w:r w:rsidRPr="00685B21">
        <w:rPr>
          <w:rFonts w:cs="Arial"/>
          <w:b/>
          <w:sz w:val="36"/>
          <w:szCs w:val="36"/>
        </w:rPr>
        <w:lastRenderedPageBreak/>
        <w:t>States consumer need only make chair available by allowing provider to come to home or place where wheelchair is used.</w:t>
      </w:r>
    </w:p>
    <w:p w:rsidR="00685B21" w:rsidRPr="00685B21" w:rsidRDefault="00685B21" w:rsidP="00685B21">
      <w:pPr>
        <w:rPr>
          <w:rFonts w:cs="Arial"/>
          <w:b/>
          <w:sz w:val="36"/>
          <w:szCs w:val="36"/>
        </w:rPr>
      </w:pPr>
      <w:r w:rsidRPr="00685B21">
        <w:rPr>
          <w:rFonts w:cs="Arial"/>
          <w:b/>
          <w:sz w:val="36"/>
          <w:szCs w:val="36"/>
        </w:rPr>
        <w:t>Requires provider to give estimated timeframe for any repairs.</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21: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DME DREDF</w:t>
      </w:r>
    </w:p>
    <w:p w:rsidR="00685B21" w:rsidRPr="00685B21" w:rsidRDefault="00685B21" w:rsidP="00685B21">
      <w:pPr>
        <w:rPr>
          <w:rFonts w:cs="Arial"/>
          <w:b/>
          <w:sz w:val="36"/>
          <w:szCs w:val="36"/>
        </w:rPr>
      </w:pPr>
      <w:r w:rsidRPr="00685B21">
        <w:rPr>
          <w:rFonts w:cs="Arial"/>
          <w:b/>
          <w:sz w:val="36"/>
          <w:szCs w:val="36"/>
        </w:rPr>
        <w:t>Mobility Device User Survey: A Brief Summary Report https://dredf.org/2024/03/12/mdus-summary/</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Tell Us Your Story of Medicare Not Covering the Wheelchair You Need </w:t>
      </w:r>
    </w:p>
    <w:p w:rsidR="00685B21" w:rsidRPr="00685B21" w:rsidRDefault="00685B21" w:rsidP="00685B21">
      <w:pPr>
        <w:rPr>
          <w:rFonts w:cs="Arial"/>
          <w:b/>
          <w:sz w:val="36"/>
          <w:szCs w:val="36"/>
        </w:rPr>
      </w:pPr>
      <w:r w:rsidRPr="00685B21">
        <w:rPr>
          <w:rFonts w:cs="Arial"/>
          <w:b/>
          <w:sz w:val="36"/>
          <w:szCs w:val="36"/>
        </w:rPr>
        <w:t>https://dredf.org/2024/03/11/cal</w:t>
      </w:r>
      <w:r>
        <w:rPr>
          <w:rFonts w:cs="Arial"/>
          <w:b/>
          <w:sz w:val="36"/>
          <w:szCs w:val="36"/>
        </w:rPr>
        <w:t>l-for-medicare-stories/#respond</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22: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Resources</w:t>
      </w:r>
    </w:p>
    <w:p w:rsidR="00685B21" w:rsidRPr="00685B21" w:rsidRDefault="00685B21" w:rsidP="00685B21">
      <w:pPr>
        <w:rPr>
          <w:rFonts w:cs="Arial"/>
          <w:b/>
          <w:sz w:val="36"/>
          <w:szCs w:val="36"/>
        </w:rPr>
      </w:pPr>
      <w:r w:rsidRPr="00685B21">
        <w:rPr>
          <w:rFonts w:cs="Arial"/>
          <w:b/>
          <w:sz w:val="36"/>
          <w:szCs w:val="36"/>
        </w:rPr>
        <w:t>State Contacts (they will, if needed, send you to other advocacy and legal organizations that they have been working with):</w:t>
      </w:r>
    </w:p>
    <w:p w:rsidR="00685B21" w:rsidRPr="00685B21" w:rsidRDefault="00685B21" w:rsidP="00685B21">
      <w:pPr>
        <w:rPr>
          <w:rFonts w:cs="Arial"/>
          <w:b/>
          <w:sz w:val="36"/>
          <w:szCs w:val="36"/>
        </w:rPr>
      </w:pPr>
      <w:r w:rsidRPr="00685B21">
        <w:rPr>
          <w:rFonts w:cs="Arial"/>
          <w:b/>
          <w:sz w:val="36"/>
          <w:szCs w:val="36"/>
        </w:rPr>
        <w:lastRenderedPageBreak/>
        <w:t xml:space="preserve">CT- CT Wheelchair Reform Coalition  </w:t>
      </w:r>
    </w:p>
    <w:p w:rsidR="00685B21" w:rsidRPr="00685B21" w:rsidRDefault="00685B21" w:rsidP="00685B21">
      <w:pPr>
        <w:rPr>
          <w:rFonts w:cs="Arial"/>
          <w:b/>
          <w:sz w:val="36"/>
          <w:szCs w:val="36"/>
        </w:rPr>
      </w:pPr>
      <w:hyperlink r:id="rId5" w:history="1">
        <w:r w:rsidRPr="000279DB">
          <w:rPr>
            <w:rStyle w:val="Hyperlink"/>
            <w:rFonts w:cs="Arial"/>
            <w:b/>
            <w:sz w:val="36"/>
            <w:szCs w:val="36"/>
          </w:rPr>
          <w:t>http://Facebook.com/wheelchairreform</w:t>
        </w:r>
      </w:hyperlink>
      <w:r>
        <w:rPr>
          <w:rFonts w:cs="Arial"/>
          <w:b/>
          <w:sz w:val="36"/>
          <w:szCs w:val="36"/>
        </w:rPr>
        <w:t xml:space="preserve"> </w:t>
      </w:r>
    </w:p>
    <w:p w:rsidR="00685B21" w:rsidRPr="00685B21" w:rsidRDefault="00685B21" w:rsidP="00685B21">
      <w:pPr>
        <w:rPr>
          <w:rFonts w:cs="Arial"/>
          <w:b/>
          <w:sz w:val="36"/>
          <w:szCs w:val="36"/>
        </w:rPr>
      </w:pPr>
      <w:r w:rsidRPr="00685B21">
        <w:rPr>
          <w:rFonts w:cs="Arial"/>
          <w:b/>
          <w:sz w:val="36"/>
          <w:szCs w:val="36"/>
        </w:rPr>
        <w:t xml:space="preserve">MA - Disability Policy Consortium </w:t>
      </w:r>
    </w:p>
    <w:p w:rsidR="00685B21" w:rsidRPr="00685B21" w:rsidRDefault="00685B21" w:rsidP="00685B21">
      <w:pPr>
        <w:rPr>
          <w:rFonts w:cs="Arial"/>
          <w:b/>
          <w:sz w:val="36"/>
          <w:szCs w:val="36"/>
        </w:rPr>
      </w:pPr>
      <w:r w:rsidRPr="00685B21">
        <w:rPr>
          <w:rFonts w:cs="Arial"/>
          <w:b/>
          <w:sz w:val="36"/>
          <w:szCs w:val="36"/>
        </w:rPr>
        <w:t>advocacy@dpcma.org</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23: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Resources (continued)</w:t>
      </w:r>
    </w:p>
    <w:p w:rsidR="00685B21" w:rsidRPr="00685B21" w:rsidRDefault="00685B21" w:rsidP="00685B21">
      <w:pPr>
        <w:rPr>
          <w:rFonts w:cs="Arial"/>
          <w:b/>
          <w:sz w:val="36"/>
          <w:szCs w:val="36"/>
        </w:rPr>
      </w:pPr>
      <w:r w:rsidRPr="00685B21">
        <w:rPr>
          <w:rFonts w:cs="Arial"/>
          <w:b/>
          <w:sz w:val="36"/>
          <w:szCs w:val="36"/>
        </w:rPr>
        <w:t>Bills:</w:t>
      </w:r>
    </w:p>
    <w:p w:rsidR="00685B21" w:rsidRPr="00685B21" w:rsidRDefault="00685B21" w:rsidP="00685B21">
      <w:pPr>
        <w:rPr>
          <w:rFonts w:cs="Arial"/>
          <w:b/>
          <w:sz w:val="36"/>
          <w:szCs w:val="36"/>
        </w:rPr>
      </w:pPr>
      <w:r w:rsidRPr="00685B21">
        <w:rPr>
          <w:rFonts w:cs="Arial"/>
          <w:b/>
          <w:sz w:val="36"/>
          <w:szCs w:val="36"/>
        </w:rPr>
        <w:t>CO – Colorado Cross Disability Coalition</w:t>
      </w:r>
    </w:p>
    <w:p w:rsidR="00685B21" w:rsidRPr="00685B21" w:rsidRDefault="00685B21" w:rsidP="00685B21">
      <w:pPr>
        <w:rPr>
          <w:rFonts w:cs="Arial"/>
          <w:b/>
          <w:sz w:val="36"/>
          <w:szCs w:val="36"/>
        </w:rPr>
      </w:pPr>
      <w:r w:rsidRPr="00685B21">
        <w:rPr>
          <w:rFonts w:cs="Arial"/>
          <w:b/>
          <w:sz w:val="36"/>
          <w:szCs w:val="36"/>
        </w:rPr>
        <w:t>https://leg.colorado.gov/bills/hb22-1031</w:t>
      </w:r>
    </w:p>
    <w:p w:rsidR="00685B21" w:rsidRPr="00685B21" w:rsidRDefault="00685B21" w:rsidP="00685B21">
      <w:pPr>
        <w:rPr>
          <w:rFonts w:cs="Arial"/>
          <w:b/>
          <w:sz w:val="36"/>
          <w:szCs w:val="36"/>
        </w:rPr>
      </w:pPr>
      <w:r w:rsidRPr="00685B21">
        <w:rPr>
          <w:rFonts w:cs="Arial"/>
          <w:b/>
          <w:sz w:val="36"/>
          <w:szCs w:val="36"/>
        </w:rPr>
        <w:t>https://leg.colorado.gov/bills/hb22-1290</w:t>
      </w:r>
    </w:p>
    <w:p w:rsidR="00685B21" w:rsidRPr="00685B21" w:rsidRDefault="00685B21" w:rsidP="00685B21">
      <w:pPr>
        <w:rPr>
          <w:rFonts w:cs="Arial"/>
          <w:b/>
          <w:sz w:val="36"/>
          <w:szCs w:val="36"/>
        </w:rPr>
      </w:pPr>
      <w:r w:rsidRPr="00685B21">
        <w:rPr>
          <w:rFonts w:cs="Arial"/>
          <w:b/>
          <w:sz w:val="36"/>
          <w:szCs w:val="36"/>
        </w:rPr>
        <w:t>CT – Wheelchair Reform Bill </w:t>
      </w:r>
    </w:p>
    <w:p w:rsidR="00685B21" w:rsidRPr="00685B21" w:rsidRDefault="00685B21" w:rsidP="00685B21">
      <w:pPr>
        <w:rPr>
          <w:rFonts w:cs="Arial"/>
          <w:b/>
          <w:sz w:val="36"/>
          <w:szCs w:val="36"/>
        </w:rPr>
      </w:pPr>
      <w:r w:rsidRPr="00685B21">
        <w:rPr>
          <w:rFonts w:cs="Arial"/>
          <w:b/>
          <w:sz w:val="36"/>
          <w:szCs w:val="36"/>
        </w:rPr>
        <w:t xml:space="preserve">https://cga.ct.gov/2024/ACT/PA/PDF/2024PA-00058-R00SB-00308-PA.PDF </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24: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Federal Legislation/Committees</w:t>
      </w:r>
    </w:p>
    <w:p w:rsidR="00685B21" w:rsidRPr="00685B21" w:rsidRDefault="00685B21" w:rsidP="00685B21">
      <w:pPr>
        <w:rPr>
          <w:rFonts w:cs="Arial"/>
          <w:b/>
          <w:sz w:val="36"/>
          <w:szCs w:val="36"/>
        </w:rPr>
      </w:pPr>
      <w:r w:rsidRPr="00685B21">
        <w:rPr>
          <w:rFonts w:cs="Arial"/>
          <w:b/>
          <w:sz w:val="36"/>
          <w:szCs w:val="36"/>
        </w:rPr>
        <w:t>The Health over Wealth Act </w:t>
      </w:r>
    </w:p>
    <w:p w:rsidR="00685B21" w:rsidRPr="00685B21" w:rsidRDefault="00685B21" w:rsidP="00685B21">
      <w:pPr>
        <w:rPr>
          <w:rFonts w:cs="Arial"/>
          <w:b/>
          <w:sz w:val="36"/>
          <w:szCs w:val="36"/>
        </w:rPr>
      </w:pPr>
      <w:r w:rsidRPr="00685B21">
        <w:rPr>
          <w:rFonts w:cs="Arial"/>
          <w:b/>
          <w:sz w:val="36"/>
          <w:szCs w:val="36"/>
        </w:rPr>
        <w:t>https://www.markey.senate.gov/healthoverwealth</w:t>
      </w:r>
    </w:p>
    <w:p w:rsidR="00685B21" w:rsidRPr="00685B21" w:rsidRDefault="00685B21" w:rsidP="00685B21">
      <w:pPr>
        <w:rPr>
          <w:rFonts w:cs="Arial"/>
          <w:b/>
          <w:sz w:val="36"/>
          <w:szCs w:val="36"/>
        </w:rPr>
      </w:pPr>
      <w:r w:rsidRPr="00685B21">
        <w:rPr>
          <w:rFonts w:cs="Arial"/>
          <w:b/>
          <w:sz w:val="36"/>
          <w:szCs w:val="36"/>
        </w:rPr>
        <w:lastRenderedPageBreak/>
        <w:t xml:space="preserve">H.R.5648 - Stop Wall Street Looting Act </w:t>
      </w:r>
    </w:p>
    <w:p w:rsidR="00685B21" w:rsidRPr="00685B21" w:rsidRDefault="00685B21" w:rsidP="00685B21">
      <w:pPr>
        <w:rPr>
          <w:rFonts w:cs="Arial"/>
          <w:b/>
          <w:sz w:val="36"/>
          <w:szCs w:val="36"/>
        </w:rPr>
      </w:pPr>
      <w:r w:rsidRPr="00685B21">
        <w:rPr>
          <w:rFonts w:cs="Arial"/>
          <w:b/>
          <w:sz w:val="36"/>
          <w:szCs w:val="36"/>
        </w:rPr>
        <w:t>https://www.congress.gov/bill/117th-congress/house-bill/5648</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25: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Committees/Agencies</w:t>
      </w:r>
    </w:p>
    <w:p w:rsidR="00685B21" w:rsidRPr="00685B21" w:rsidRDefault="00685B21" w:rsidP="00685B21">
      <w:pPr>
        <w:rPr>
          <w:rFonts w:cs="Arial"/>
          <w:b/>
          <w:sz w:val="36"/>
          <w:szCs w:val="36"/>
        </w:rPr>
      </w:pPr>
      <w:r w:rsidRPr="00685B21">
        <w:rPr>
          <w:rFonts w:cs="Arial"/>
          <w:b/>
          <w:sz w:val="36"/>
          <w:szCs w:val="36"/>
        </w:rPr>
        <w:t xml:space="preserve">Senate Budget Committee Digs into Impact of Private Equity Ownership in America’s Hospitals  </w:t>
      </w:r>
      <w:hyperlink r:id="rId6" w:history="1">
        <w:r w:rsidRPr="000279DB">
          <w:rPr>
            <w:rStyle w:val="Hyperlink"/>
            <w:rFonts w:cs="Arial"/>
            <w:b/>
            <w:sz w:val="36"/>
            <w:szCs w:val="36"/>
          </w:rPr>
          <w:t>https://www.budget.senate.gov/chairman/newsroom/press/senate-budget-committee-digs-into-impact-of-private-equity-ownership-in-americas-hospitals</w:t>
        </w:r>
      </w:hyperlink>
      <w:r>
        <w:rPr>
          <w:rFonts w:cs="Arial"/>
          <w:b/>
          <w:sz w:val="36"/>
          <w:szCs w:val="36"/>
        </w:rPr>
        <w:t xml:space="preserve"> </w:t>
      </w:r>
    </w:p>
    <w:p w:rsidR="00685B21" w:rsidRPr="00685B21" w:rsidRDefault="00685B21" w:rsidP="00685B21">
      <w:pPr>
        <w:rPr>
          <w:rFonts w:cs="Arial"/>
          <w:b/>
          <w:sz w:val="36"/>
          <w:szCs w:val="36"/>
        </w:rPr>
      </w:pPr>
      <w:r w:rsidRPr="00685B21">
        <w:rPr>
          <w:rFonts w:cs="Arial"/>
          <w:b/>
          <w:sz w:val="36"/>
          <w:szCs w:val="36"/>
        </w:rPr>
        <w:t xml:space="preserve">Federal Agencies Launch Public Inquiry </w:t>
      </w:r>
      <w:proofErr w:type="gramStart"/>
      <w:r w:rsidRPr="00685B21">
        <w:rPr>
          <w:rFonts w:cs="Arial"/>
          <w:b/>
          <w:sz w:val="36"/>
          <w:szCs w:val="36"/>
        </w:rPr>
        <w:t>Into</w:t>
      </w:r>
      <w:proofErr w:type="gramEnd"/>
      <w:r w:rsidRPr="00685B21">
        <w:rPr>
          <w:rFonts w:cs="Arial"/>
          <w:b/>
          <w:sz w:val="36"/>
          <w:szCs w:val="36"/>
        </w:rPr>
        <w:t xml:space="preserve"> Private Equity Control Over Healthcare </w:t>
      </w:r>
    </w:p>
    <w:p w:rsidR="00685B21" w:rsidRPr="00685B21" w:rsidRDefault="00685B21" w:rsidP="00685B21">
      <w:pPr>
        <w:rPr>
          <w:rFonts w:cs="Arial"/>
          <w:b/>
          <w:sz w:val="36"/>
          <w:szCs w:val="36"/>
        </w:rPr>
      </w:pPr>
      <w:r w:rsidRPr="00685B21">
        <w:rPr>
          <w:rFonts w:cs="Arial"/>
          <w:b/>
          <w:sz w:val="36"/>
          <w:szCs w:val="36"/>
        </w:rPr>
        <w:t>https://www.hhs.gov/about/news/2024/03/05/issue-request-for-public-input-as-part-of-inquiry-into-impacts-of-corporate-ownership-trend-in-health-care.html</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26: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Committees/Agencies (continued)</w:t>
      </w:r>
    </w:p>
    <w:p w:rsidR="00685B21" w:rsidRPr="00685B21" w:rsidRDefault="00685B21" w:rsidP="00685B21">
      <w:pPr>
        <w:rPr>
          <w:rFonts w:cs="Arial"/>
          <w:b/>
          <w:sz w:val="36"/>
          <w:szCs w:val="36"/>
        </w:rPr>
      </w:pPr>
      <w:r w:rsidRPr="00685B21">
        <w:rPr>
          <w:rFonts w:cs="Arial"/>
          <w:b/>
          <w:sz w:val="36"/>
          <w:szCs w:val="36"/>
        </w:rPr>
        <w:lastRenderedPageBreak/>
        <w:t xml:space="preserve">When Health Care Becomes Wealth Care: How Corporate Greed Puts Patient Care and Health Workers at Risk </w:t>
      </w:r>
    </w:p>
    <w:p w:rsidR="00685B21" w:rsidRPr="00685B21" w:rsidRDefault="00685B21" w:rsidP="00685B21">
      <w:pPr>
        <w:rPr>
          <w:rFonts w:cs="Arial"/>
          <w:b/>
          <w:sz w:val="36"/>
          <w:szCs w:val="36"/>
        </w:rPr>
      </w:pPr>
      <w:hyperlink r:id="rId7" w:history="1">
        <w:r w:rsidRPr="000279DB">
          <w:rPr>
            <w:rStyle w:val="Hyperlink"/>
            <w:rFonts w:cs="Arial"/>
            <w:b/>
            <w:sz w:val="36"/>
            <w:szCs w:val="36"/>
          </w:rPr>
          <w:t>https://www.help.senate.gov/hearings/when-health-care-becomes-wealth-care-how-corporate-greed-puts-patient-care-and-health-workers-at-risk</w:t>
        </w:r>
      </w:hyperlink>
      <w:r>
        <w:rPr>
          <w:rFonts w:cs="Arial"/>
          <w:b/>
          <w:sz w:val="36"/>
          <w:szCs w:val="36"/>
        </w:rPr>
        <w:t xml:space="preserve"> </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27: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Online Searches</w:t>
      </w:r>
    </w:p>
    <w:p w:rsidR="00685B21" w:rsidRPr="00685B21" w:rsidRDefault="00685B21" w:rsidP="00685B21">
      <w:pPr>
        <w:rPr>
          <w:rFonts w:cs="Arial"/>
          <w:b/>
          <w:sz w:val="36"/>
          <w:szCs w:val="36"/>
        </w:rPr>
      </w:pPr>
      <w:r w:rsidRPr="00685B21">
        <w:rPr>
          <w:rFonts w:cs="Arial"/>
          <w:b/>
          <w:sz w:val="36"/>
          <w:szCs w:val="36"/>
        </w:rPr>
        <w:t>Private Equity Stakeholder Project   https://pestakeholder.org/</w:t>
      </w:r>
    </w:p>
    <w:p w:rsidR="00685B21" w:rsidRPr="00685B21" w:rsidRDefault="00685B21" w:rsidP="00685B21">
      <w:pPr>
        <w:rPr>
          <w:rFonts w:cs="Arial"/>
          <w:b/>
          <w:sz w:val="36"/>
          <w:szCs w:val="36"/>
        </w:rPr>
      </w:pPr>
      <w:r w:rsidRPr="00685B21">
        <w:rPr>
          <w:rFonts w:cs="Arial"/>
          <w:b/>
          <w:sz w:val="36"/>
          <w:szCs w:val="36"/>
        </w:rPr>
        <w:t xml:space="preserve">KKF </w:t>
      </w:r>
    </w:p>
    <w:p w:rsidR="00685B21" w:rsidRPr="00685B21" w:rsidRDefault="00685B21" w:rsidP="00685B21">
      <w:pPr>
        <w:rPr>
          <w:rFonts w:cs="Arial"/>
          <w:b/>
          <w:sz w:val="36"/>
          <w:szCs w:val="36"/>
        </w:rPr>
      </w:pPr>
      <w:r w:rsidRPr="00685B21">
        <w:rPr>
          <w:rFonts w:cs="Arial"/>
          <w:b/>
          <w:sz w:val="36"/>
          <w:szCs w:val="36"/>
        </w:rPr>
        <w:t>https://www.kff.org/</w:t>
      </w:r>
    </w:p>
    <w:p w:rsidR="00685B21" w:rsidRPr="00685B21" w:rsidRDefault="00685B21" w:rsidP="00685B21">
      <w:pPr>
        <w:rPr>
          <w:rFonts w:cs="Arial"/>
          <w:b/>
          <w:sz w:val="36"/>
          <w:szCs w:val="36"/>
        </w:rPr>
      </w:pPr>
      <w:proofErr w:type="spellStart"/>
      <w:r>
        <w:rPr>
          <w:rFonts w:cs="Arial"/>
          <w:b/>
          <w:sz w:val="36"/>
          <w:szCs w:val="36"/>
        </w:rPr>
        <w:t>Beckers</w:t>
      </w:r>
      <w:proofErr w:type="spellEnd"/>
      <w:r>
        <w:rPr>
          <w:rFonts w:cs="Arial"/>
          <w:b/>
          <w:sz w:val="36"/>
          <w:szCs w:val="36"/>
        </w:rPr>
        <w:t xml:space="preserve"> Hospital Review </w:t>
      </w:r>
      <w:hyperlink r:id="rId8" w:history="1">
        <w:r w:rsidRPr="000279DB">
          <w:rPr>
            <w:rStyle w:val="Hyperlink"/>
            <w:rFonts w:cs="Arial"/>
            <w:b/>
            <w:sz w:val="36"/>
            <w:szCs w:val="36"/>
          </w:rPr>
          <w:t>https://www.beckershospitalreview.com/</w:t>
        </w:r>
      </w:hyperlink>
      <w:r>
        <w:rPr>
          <w:rFonts w:cs="Arial"/>
          <w:b/>
          <w:sz w:val="36"/>
          <w:szCs w:val="36"/>
        </w:rPr>
        <w:t xml:space="preserve"> </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 xml:space="preserve">SLIDE 28: </w:t>
      </w:r>
    </w:p>
    <w:p w:rsid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t>Books</w:t>
      </w:r>
    </w:p>
    <w:p w:rsidR="00685B21" w:rsidRPr="00685B21" w:rsidRDefault="00685B21" w:rsidP="00685B21">
      <w:pPr>
        <w:rPr>
          <w:rFonts w:cs="Arial"/>
          <w:b/>
          <w:sz w:val="36"/>
          <w:szCs w:val="36"/>
        </w:rPr>
      </w:pPr>
      <w:r w:rsidRPr="00685B21">
        <w:rPr>
          <w:rFonts w:cs="Arial"/>
          <w:b/>
          <w:sz w:val="36"/>
          <w:szCs w:val="36"/>
        </w:rPr>
        <w:t>“Plunder: Private Equity Plan to Pillage America” by Brendan Ballou (also on Audible Audiobook)</w:t>
      </w:r>
    </w:p>
    <w:p w:rsidR="00685B21" w:rsidRPr="00685B21" w:rsidRDefault="00685B21" w:rsidP="00685B21">
      <w:pPr>
        <w:rPr>
          <w:rFonts w:cs="Arial"/>
          <w:b/>
          <w:sz w:val="36"/>
          <w:szCs w:val="36"/>
        </w:rPr>
      </w:pPr>
    </w:p>
    <w:p w:rsidR="00685B21" w:rsidRPr="00685B21" w:rsidRDefault="00685B21" w:rsidP="00685B21">
      <w:pPr>
        <w:rPr>
          <w:rFonts w:cs="Arial"/>
          <w:b/>
          <w:sz w:val="36"/>
          <w:szCs w:val="36"/>
        </w:rPr>
      </w:pPr>
      <w:r w:rsidRPr="00685B21">
        <w:rPr>
          <w:rFonts w:cs="Arial"/>
          <w:b/>
          <w:sz w:val="36"/>
          <w:szCs w:val="36"/>
        </w:rPr>
        <w:lastRenderedPageBreak/>
        <w:t>SLIDE 30</w:t>
      </w:r>
    </w:p>
    <w:p w:rsidR="00685B21" w:rsidRDefault="00685B21" w:rsidP="00685B21">
      <w:pPr>
        <w:rPr>
          <w:rFonts w:cs="Arial"/>
          <w:b/>
          <w:sz w:val="36"/>
          <w:szCs w:val="36"/>
        </w:rPr>
      </w:pPr>
    </w:p>
    <w:p w:rsidR="00E923BB" w:rsidRPr="00685B21" w:rsidRDefault="00685B21" w:rsidP="00685B21">
      <w:pPr>
        <w:rPr>
          <w:rFonts w:cs="Arial"/>
          <w:b/>
          <w:sz w:val="36"/>
          <w:szCs w:val="36"/>
        </w:rPr>
      </w:pPr>
      <w:bookmarkStart w:id="0" w:name="_GoBack"/>
      <w:bookmarkEnd w:id="0"/>
      <w:r w:rsidRPr="00685B21">
        <w:rPr>
          <w:rFonts w:cs="Arial"/>
          <w:b/>
          <w:sz w:val="36"/>
          <w:szCs w:val="36"/>
        </w:rPr>
        <w:t>Questions?</w:t>
      </w:r>
    </w:p>
    <w:sectPr w:rsidR="00E923BB" w:rsidRPr="00685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21"/>
    <w:rsid w:val="0037267D"/>
    <w:rsid w:val="005F3165"/>
    <w:rsid w:val="00685B21"/>
    <w:rsid w:val="00E9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3926"/>
  <w15:chartTrackingRefBased/>
  <w15:docId w15:val="{91F7475E-0B20-4125-B467-19F6FF09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165"/>
    <w:rPr>
      <w:rFonts w:ascii="Arial" w:hAnsi="Arial"/>
      <w:sz w:val="24"/>
    </w:rPr>
  </w:style>
  <w:style w:type="paragraph" w:styleId="Heading1">
    <w:name w:val="heading 1"/>
    <w:basedOn w:val="Normal"/>
    <w:next w:val="Normal"/>
    <w:link w:val="Heading1Char"/>
    <w:uiPriority w:val="9"/>
    <w:qFormat/>
    <w:rsid w:val="0037267D"/>
    <w:pPr>
      <w:keepNext/>
      <w:keepLines/>
      <w:spacing w:before="240" w:after="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67D"/>
    <w:rPr>
      <w:rFonts w:ascii="Arial" w:eastAsiaTheme="majorEastAsia" w:hAnsi="Arial" w:cstheme="majorBidi"/>
      <w:sz w:val="32"/>
      <w:szCs w:val="32"/>
    </w:rPr>
  </w:style>
  <w:style w:type="character" w:styleId="Hyperlink">
    <w:name w:val="Hyperlink"/>
    <w:basedOn w:val="DefaultParagraphFont"/>
    <w:uiPriority w:val="99"/>
    <w:unhideWhenUsed/>
    <w:rsid w:val="00685B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ershospitalreview.com/" TargetMode="External"/><Relationship Id="rId3" Type="http://schemas.openxmlformats.org/officeDocument/2006/relationships/webSettings" Target="webSettings.xml"/><Relationship Id="rId7" Type="http://schemas.openxmlformats.org/officeDocument/2006/relationships/hyperlink" Target="https://www.help.senate.gov/hearings/when-health-care-becomes-wealth-care-how-corporate-greed-puts-patient-care-and-health-workers-at-ri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dget.senate.gov/chairman/newsroom/press/senate-budget-committee-digs-into-impact-of-private-equity-ownership-in-americas-hospitals" TargetMode="External"/><Relationship Id="rId5" Type="http://schemas.openxmlformats.org/officeDocument/2006/relationships/hyperlink" Target="http://Facebook.com/wheelchairreform" TargetMode="External"/><Relationship Id="rId10" Type="http://schemas.openxmlformats.org/officeDocument/2006/relationships/theme" Target="theme/theme1.xml"/><Relationship Id="rId4" Type="http://schemas.openxmlformats.org/officeDocument/2006/relationships/hyperlink" Target="https://bit.ly/ct2024_sb308_inf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Canter</dc:creator>
  <cp:keywords/>
  <dc:description/>
  <cp:lastModifiedBy>Eleanor Canter</cp:lastModifiedBy>
  <cp:revision>1</cp:revision>
  <dcterms:created xsi:type="dcterms:W3CDTF">2024-07-20T00:20:00Z</dcterms:created>
  <dcterms:modified xsi:type="dcterms:W3CDTF">2024-07-20T00:24:00Z</dcterms:modified>
</cp:coreProperties>
</file>